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841E" w14:textId="5FFA8FAD" w:rsidR="00DA790F" w:rsidRPr="00564268" w:rsidRDefault="00724788" w:rsidP="008C04AB">
      <w:pPr>
        <w:pStyle w:val="CaseCaption"/>
        <w:rPr>
          <w:bCs/>
          <w:color w:val="000000" w:themeColor="text1"/>
        </w:rPr>
      </w:pPr>
      <w:bookmarkStart w:id="0" w:name="CaseType"/>
      <w:r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bookmarkEnd w:id="0"/>
      <w:bookmarkEnd w:id="1"/>
      <w:r w:rsidR="00607C8C">
        <w:t>56272</w:t>
      </w:r>
    </w:p>
    <w:tbl>
      <w:tblPr>
        <w:tblW w:w="9446" w:type="dxa"/>
        <w:tblLook w:val="01E0" w:firstRow="1" w:lastRow="1" w:firstColumn="1" w:lastColumn="1" w:noHBand="0" w:noVBand="0"/>
        <w:tblCaption w:val="Case Caption"/>
      </w:tblPr>
      <w:tblGrid>
        <w:gridCol w:w="4633"/>
        <w:gridCol w:w="576"/>
        <w:gridCol w:w="4237"/>
      </w:tblGrid>
      <w:tr w:rsidR="00DA790F" w:rsidRPr="008647EB" w14:paraId="0D96B973" w14:textId="77777777" w:rsidTr="0080282E">
        <w:trPr>
          <w:trHeight w:val="1136"/>
        </w:trPr>
        <w:tc>
          <w:tcPr>
            <w:tcW w:w="4633" w:type="dxa"/>
          </w:tcPr>
          <w:p w14:paraId="08F7494B" w14:textId="52CA87AB" w:rsidR="00250413" w:rsidRPr="0069075D" w:rsidRDefault="00607C8C" w:rsidP="00360EFC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607C8C">
              <w:rPr>
                <w:b/>
                <w:caps/>
                <w:szCs w:val="20"/>
              </w:rPr>
              <w:t>COMPLIANCE DOCKET FOR DOCKET NO. 50788 (RATEPAYERS APPEAL OF THE DECISION BY WINDERMERE OAKS WATER SUPPLY CORPORATION TO CHANGE WA</w:t>
            </w:r>
            <w:r>
              <w:rPr>
                <w:b/>
                <w:caps/>
                <w:szCs w:val="20"/>
              </w:rPr>
              <w:t>TER AND SEWER RATES)</w:t>
            </w:r>
          </w:p>
        </w:tc>
        <w:tc>
          <w:tcPr>
            <w:tcW w:w="576" w:type="dxa"/>
            <w:noWrap/>
          </w:tcPr>
          <w:p w14:paraId="4499CEE3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917869A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2AB1521" w14:textId="2D988FCA" w:rsidR="00A1072F" w:rsidRDefault="0049266F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  <w:r w:rsidR="00250413">
              <w:rPr>
                <w:b/>
                <w:szCs w:val="20"/>
              </w:rPr>
              <w:t xml:space="preserve"> </w:t>
            </w:r>
            <w:r w:rsidR="00A1072F">
              <w:rPr>
                <w:b/>
                <w:szCs w:val="20"/>
              </w:rPr>
              <w:t xml:space="preserve"> </w:t>
            </w:r>
          </w:p>
          <w:p w14:paraId="5D5B9A9E" w14:textId="77777777" w:rsidR="00482B86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CBC46B0" w14:textId="77777777" w:rsidR="00607C8C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AD83D9B" w14:textId="77777777" w:rsidR="00607C8C" w:rsidRDefault="00607C8C" w:rsidP="008B20CD">
            <w:pPr>
              <w:spacing w:after="0" w:line="276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B05F9F7" w14:textId="4DF0A4B4" w:rsidR="00607C8C" w:rsidRPr="008647EB" w:rsidRDefault="00607C8C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7" w:type="dxa"/>
          </w:tcPr>
          <w:p w14:paraId="6F534D0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9BEC64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6C98F9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CF4717" w14:textId="6BD8F047" w:rsidR="00DA790F" w:rsidRPr="008647EB" w:rsidRDefault="00F1115F" w:rsidP="0069075D">
      <w:pPr>
        <w:pStyle w:val="CaseCaption"/>
        <w:contextualSpacing w:val="0"/>
      </w:pPr>
      <w:r>
        <w:t>COMMISSION STAFF’S</w:t>
      </w:r>
      <w:r w:rsidR="00360EFC">
        <w:t xml:space="preserve"> REQUEST FOR EXTENSION </w:t>
      </w:r>
    </w:p>
    <w:p w14:paraId="1E95155E" w14:textId="255C73A7" w:rsidR="008B63E5" w:rsidRDefault="008B63E5" w:rsidP="0025041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INTRODUCTION</w:t>
      </w:r>
    </w:p>
    <w:p w14:paraId="0A8158F6" w14:textId="422A9D07" w:rsidR="00A729C7" w:rsidRDefault="00607C8C" w:rsidP="00A729C7">
      <w:pPr>
        <w:spacing w:after="0"/>
        <w:ind w:left="72"/>
        <w:textAlignment w:val="baseline"/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 3 of the Commission’s Order requires Windermere Oaks Water Supply Corporation (Windermere Oaks) to refund water and sewer customers over a 45-month period or until a net amount of $884,666.62 has been refunded, whichever occurs first. Ordering Paragraph 4 of the Commission’s Order approves a monthly $39.21 surcharge per connection over a 45-month period or until $478,184.04 is collected, whichever occurs first</w:t>
      </w:r>
      <w:r w:rsidR="00A729C7">
        <w:t xml:space="preserve">. </w:t>
      </w:r>
    </w:p>
    <w:p w14:paraId="50451C5F" w14:textId="3F5BA33B" w:rsidR="00BC7303" w:rsidRDefault="00A729C7" w:rsidP="00A729C7">
      <w:pPr>
        <w:spacing w:after="0"/>
      </w:pPr>
      <w:r>
        <w:t xml:space="preserve">On May </w:t>
      </w:r>
      <w:r w:rsidR="00607C8C">
        <w:t>22</w:t>
      </w:r>
      <w:r>
        <w:t xml:space="preserve">, 2024, the administrative law judge (ALJ) filed Order No. 2, directing the Staff (Staff) of the Public Utility Commission of Texas (Commission) to file </w:t>
      </w:r>
      <w:r w:rsidR="00607C8C">
        <w:t>a recommendation on the sufficiency of Windermere Oaks’ initial compliance report</w:t>
      </w:r>
      <w:r>
        <w:t xml:space="preserve"> by </w:t>
      </w:r>
      <w:r w:rsidR="00607C8C">
        <w:t>June 25</w:t>
      </w:r>
      <w:r>
        <w:t>, 2024. Therefore, this pleading is timely filed</w:t>
      </w:r>
      <w:r w:rsidR="00BC7303">
        <w:t>.</w:t>
      </w:r>
      <w:r w:rsidR="00042173">
        <w:t xml:space="preserve"> </w:t>
      </w:r>
      <w:r w:rsidR="00C22866">
        <w:t xml:space="preserve"> </w:t>
      </w:r>
      <w:r w:rsidR="004C7095">
        <w:t xml:space="preserve"> </w:t>
      </w:r>
    </w:p>
    <w:p w14:paraId="3CC644EA" w14:textId="5BFD82BA" w:rsidR="0049266F" w:rsidRDefault="00360EFC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REQUEST FOR EXTENSION OF TIME</w:t>
      </w:r>
    </w:p>
    <w:p w14:paraId="567B0129" w14:textId="3B98A234" w:rsidR="00F1115F" w:rsidRPr="00B3555C" w:rsidRDefault="00360EFC" w:rsidP="0006664A">
      <w:pPr>
        <w:spacing w:after="0"/>
        <w:outlineLvl w:val="3"/>
        <w:rPr>
          <w:szCs w:val="20"/>
        </w:rPr>
      </w:pPr>
      <w:r>
        <w:t xml:space="preserve">Under 16 Texas Administrative Code § 22.4(b), a party may request that the time allowed for filing any documents be extended for good cause. </w:t>
      </w:r>
      <w:r w:rsidR="008B20CD">
        <w:rPr>
          <w:szCs w:val="20"/>
        </w:rPr>
        <w:t xml:space="preserve">On </w:t>
      </w:r>
      <w:r w:rsidR="00EA412A">
        <w:rPr>
          <w:szCs w:val="20"/>
        </w:rPr>
        <w:t>June 14, 2024, Staff filed its first Request for Information to Windermere Oaks</w:t>
      </w:r>
      <w:r w:rsidR="00421ED4">
        <w:t>.</w:t>
      </w:r>
      <w:r w:rsidR="00EA412A">
        <w:t xml:space="preserve"> As of the date of the filing of this request for extension, Windermere Oaks has not yet responded. </w:t>
      </w:r>
      <w:r w:rsidR="00A444C5">
        <w:t>Due to the time that Staff would require to review Windermere Oaks’ response, Staf</w:t>
      </w:r>
      <w:r w:rsidR="005A2D08">
        <w:t xml:space="preserve">f would not be able to properly </w:t>
      </w:r>
      <w:proofErr w:type="gramStart"/>
      <w:r w:rsidR="005A2D08">
        <w:t>take into account</w:t>
      </w:r>
      <w:proofErr w:type="gramEnd"/>
      <w:r w:rsidR="005A2D08">
        <w:t xml:space="preserve"> Windermere Oaks’ response before its June 25, 2024, deadline to </w:t>
      </w:r>
      <w:r w:rsidR="008252BE">
        <w:t>file a recommendation on the sufficiency of Windermere Oaks’ initial compliance report.</w:t>
      </w:r>
      <w:r w:rsidR="00421ED4">
        <w:t xml:space="preserve"> </w:t>
      </w:r>
      <w:r w:rsidR="006D5CA3">
        <w:t xml:space="preserve">Staff has conferred with Windermere Oaks and is </w:t>
      </w:r>
      <w:r w:rsidR="00E52D6F">
        <w:t xml:space="preserve">authorized to state that Windermere Oaks is unopposed to this extension. </w:t>
      </w:r>
      <w:r w:rsidR="004C7095">
        <w:rPr>
          <w:szCs w:val="20"/>
        </w:rPr>
        <w:t xml:space="preserve">Therefore, </w:t>
      </w:r>
      <w:r w:rsidR="00F67FF9">
        <w:rPr>
          <w:szCs w:val="20"/>
        </w:rPr>
        <w:t xml:space="preserve">Staff </w:t>
      </w:r>
      <w:r w:rsidR="00F67FF9" w:rsidRPr="00B3555C">
        <w:rPr>
          <w:szCs w:val="20"/>
        </w:rPr>
        <w:lastRenderedPageBreak/>
        <w:t>respectfully request</w:t>
      </w:r>
      <w:r w:rsidR="00824FF9">
        <w:rPr>
          <w:szCs w:val="20"/>
        </w:rPr>
        <w:t>s</w:t>
      </w:r>
      <w:r w:rsidR="00F67FF9" w:rsidRPr="00B3555C">
        <w:rPr>
          <w:szCs w:val="20"/>
        </w:rPr>
        <w:t xml:space="preserve"> an extension of time until </w:t>
      </w:r>
      <w:r w:rsidR="00607C8C" w:rsidRPr="0022654B">
        <w:rPr>
          <w:szCs w:val="20"/>
        </w:rPr>
        <w:t xml:space="preserve">July </w:t>
      </w:r>
      <w:r w:rsidR="0086639D">
        <w:rPr>
          <w:szCs w:val="20"/>
        </w:rPr>
        <w:t>26</w:t>
      </w:r>
      <w:r w:rsidR="00724788" w:rsidRPr="003F1CEE">
        <w:rPr>
          <w:szCs w:val="20"/>
        </w:rPr>
        <w:t>, 2024</w:t>
      </w:r>
      <w:r w:rsidR="00724788" w:rsidRPr="00724788">
        <w:rPr>
          <w:szCs w:val="20"/>
        </w:rPr>
        <w:t>,</w:t>
      </w:r>
      <w:r w:rsidR="00724788">
        <w:rPr>
          <w:szCs w:val="20"/>
        </w:rPr>
        <w:t xml:space="preserve"> </w:t>
      </w:r>
      <w:r w:rsidR="0006664A">
        <w:rPr>
          <w:szCs w:val="20"/>
        </w:rPr>
        <w:t xml:space="preserve">to </w:t>
      </w:r>
      <w:r w:rsidR="00607C8C">
        <w:t>file a recommendation on the sufficiency of Windermere Oaks’ initial compliance report</w:t>
      </w:r>
      <w:r w:rsidR="00F67FF9">
        <w:rPr>
          <w:szCs w:val="20"/>
        </w:rPr>
        <w:t>.</w:t>
      </w:r>
      <w:r w:rsidR="00607C8C">
        <w:rPr>
          <w:szCs w:val="20"/>
        </w:rPr>
        <w:t xml:space="preserve"> </w:t>
      </w:r>
      <w:r w:rsidR="0006664A">
        <w:rPr>
          <w:szCs w:val="20"/>
        </w:rPr>
        <w:t xml:space="preserve"> </w:t>
      </w:r>
    </w:p>
    <w:p w14:paraId="2A4AA7D6" w14:textId="77777777" w:rsidR="00DA790F" w:rsidRDefault="00B50F0E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 w:rsidRPr="005E0AD2">
        <w:t>CONCLUSION</w:t>
      </w:r>
    </w:p>
    <w:p w14:paraId="0FB1CA24" w14:textId="38E41ECA" w:rsidR="00B50F0E" w:rsidRPr="00F71D87" w:rsidRDefault="00720E36" w:rsidP="00BC7303">
      <w:pPr>
        <w:spacing w:after="0"/>
        <w:outlineLvl w:val="3"/>
        <w:rPr>
          <w:szCs w:val="20"/>
        </w:rPr>
      </w:pPr>
      <w:r>
        <w:rPr>
          <w:szCs w:val="20"/>
        </w:rPr>
        <w:t>Staff</w:t>
      </w:r>
      <w:r w:rsidR="00B4062D" w:rsidRPr="00B3555C">
        <w:rPr>
          <w:szCs w:val="20"/>
        </w:rPr>
        <w:t xml:space="preserve"> respectfully request</w:t>
      </w:r>
      <w:r w:rsidR="00824FF9">
        <w:rPr>
          <w:szCs w:val="20"/>
        </w:rPr>
        <w:t>s</w:t>
      </w:r>
      <w:r w:rsidR="00B4062D" w:rsidRPr="00B3555C">
        <w:rPr>
          <w:szCs w:val="20"/>
        </w:rPr>
        <w:t xml:space="preserve"> the entry of an order extending Staff</w:t>
      </w:r>
      <w:r w:rsidR="00BF0018">
        <w:rPr>
          <w:szCs w:val="20"/>
        </w:rPr>
        <w:t>’s</w:t>
      </w:r>
      <w:r w:rsidR="00B4062D" w:rsidRPr="00B3555C">
        <w:rPr>
          <w:szCs w:val="20"/>
        </w:rPr>
        <w:t xml:space="preserve"> deadline to</w:t>
      </w:r>
      <w:r w:rsidR="003F1CEE">
        <w:rPr>
          <w:szCs w:val="20"/>
        </w:rPr>
        <w:t xml:space="preserve"> </w:t>
      </w:r>
      <w:r w:rsidR="00607C8C" w:rsidRPr="0022654B">
        <w:rPr>
          <w:szCs w:val="20"/>
        </w:rPr>
        <w:t xml:space="preserve">July </w:t>
      </w:r>
      <w:r w:rsidR="0086639D">
        <w:rPr>
          <w:szCs w:val="20"/>
        </w:rPr>
        <w:t>26</w:t>
      </w:r>
      <w:r w:rsidR="003F1CEE">
        <w:rPr>
          <w:szCs w:val="20"/>
        </w:rPr>
        <w:t>, 2024</w:t>
      </w:r>
      <w:r w:rsidR="00482B86" w:rsidRPr="00724788">
        <w:rPr>
          <w:szCs w:val="20"/>
        </w:rPr>
        <w:t>,</w:t>
      </w:r>
      <w:r w:rsidR="00482B86">
        <w:rPr>
          <w:szCs w:val="20"/>
        </w:rPr>
        <w:t xml:space="preserve"> to </w:t>
      </w:r>
      <w:r w:rsidR="00607C8C">
        <w:t>file a recommendation on the sufficiency of Windermere Oaks’ initial compliance report</w:t>
      </w:r>
      <w:r w:rsidR="00B4062D" w:rsidRPr="00B3555C">
        <w:rPr>
          <w:szCs w:val="20"/>
        </w:rPr>
        <w:t>.</w:t>
      </w:r>
      <w:r w:rsidR="00C22866">
        <w:rPr>
          <w:szCs w:val="20"/>
        </w:rPr>
        <w:t xml:space="preserve"> </w:t>
      </w:r>
      <w:r w:rsidR="0006664A">
        <w:rPr>
          <w:szCs w:val="20"/>
        </w:rPr>
        <w:t xml:space="preserve"> </w:t>
      </w:r>
    </w:p>
    <w:p w14:paraId="6C713A93" w14:textId="7306F5CE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t>Date</w:t>
      </w:r>
      <w:r w:rsidR="008B63E5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6D5CA3">
        <w:rPr>
          <w:noProof/>
        </w:rPr>
        <w:t>June 21, 2024</w:t>
      </w:r>
      <w:r w:rsidRPr="00F71D87">
        <w:fldChar w:fldCharType="end"/>
      </w:r>
    </w:p>
    <w:p w14:paraId="22F9D61D" w14:textId="77777777" w:rsidR="00E436D8" w:rsidRPr="00F71D87" w:rsidRDefault="00E436D8" w:rsidP="00B50F0E">
      <w:pPr>
        <w:keepNext/>
        <w:spacing w:after="0"/>
        <w:ind w:firstLine="0"/>
      </w:pPr>
    </w:p>
    <w:p w14:paraId="4EE0F843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27A0FA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65BDC4F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C3A3D2E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7A9BCA8B" w14:textId="5902D44C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 xml:space="preserve">Marisa </w:t>
      </w:r>
      <w:r w:rsidR="00BF0018" w:rsidRPr="00683E87">
        <w:rPr>
          <w:szCs w:val="20"/>
        </w:rPr>
        <w:t xml:space="preserve">Lopez </w:t>
      </w:r>
      <w:r w:rsidRPr="00683E87">
        <w:rPr>
          <w:szCs w:val="20"/>
        </w:rPr>
        <w:t xml:space="preserve">Wagley </w:t>
      </w:r>
    </w:p>
    <w:p w14:paraId="45B63D4B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7B5A3764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1E36B7A4" w14:textId="399DFDFF" w:rsidR="009A2B18" w:rsidRDefault="00030D97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Anthony Kanalas</w:t>
      </w:r>
    </w:p>
    <w:p w14:paraId="47F3928F" w14:textId="7D25EAC9" w:rsidR="00720E36" w:rsidRDefault="00720E36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715CE0B2" w14:textId="381E7970" w:rsidR="00720E36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04259A14" w14:textId="77777777" w:rsidR="00720E36" w:rsidRPr="00683E87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26D5466A" w14:textId="2C1370CF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EFB245A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63AE7459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36B26A80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75AC871D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76C862D6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00849CF7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7A864E86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0D7F5DA0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Tyler.Xu@puc.texas.gov</w:t>
      </w:r>
    </w:p>
    <w:p w14:paraId="6602519D" w14:textId="77777777" w:rsidR="009A2B18" w:rsidRPr="0051021C" w:rsidRDefault="009A2B18" w:rsidP="009A2B18">
      <w:pPr>
        <w:pStyle w:val="Paragraph"/>
        <w:ind w:firstLine="0"/>
      </w:pPr>
    </w:p>
    <w:p w14:paraId="0201ED46" w14:textId="5601CC3E" w:rsidR="009A2B18" w:rsidRPr="00702788" w:rsidRDefault="009A2B18" w:rsidP="009A2B18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24788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607C8C">
        <w:t>56272</w:t>
      </w:r>
      <w:r w:rsidRPr="0036274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F845DD" w14:textId="77777777" w:rsidR="009A2B18" w:rsidRPr="008647EB" w:rsidRDefault="009A2B18" w:rsidP="009A2B18">
      <w:pPr>
        <w:pStyle w:val="CaseCaption"/>
      </w:pPr>
      <w:r w:rsidRPr="008647EB">
        <w:t>CERTIFICATE OF SERVICE</w:t>
      </w:r>
    </w:p>
    <w:p w14:paraId="359CE1F1" w14:textId="386DF31D" w:rsidR="009A2B18" w:rsidRDefault="009A2B18" w:rsidP="009A2B18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D5CA3">
        <w:rPr>
          <w:noProof/>
        </w:rPr>
        <w:t>June 21, 2024</w:t>
      </w:r>
      <w:r>
        <w:fldChar w:fldCharType="end"/>
      </w:r>
      <w:r w:rsidR="0080282E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757C29">
        <w:t>filed</w:t>
      </w:r>
      <w:r w:rsidRPr="00893EAC">
        <w:t xml:space="preserve"> in Project No. 50664.</w:t>
      </w:r>
      <w:r>
        <w:t xml:space="preserve"> </w:t>
      </w:r>
    </w:p>
    <w:p w14:paraId="5E949CF0" w14:textId="77777777" w:rsidR="009A2B18" w:rsidRPr="008647EB" w:rsidRDefault="009A2B18" w:rsidP="009A2B18">
      <w:pPr>
        <w:pStyle w:val="Paragraph"/>
        <w:keepNext/>
        <w:keepLines/>
      </w:pPr>
    </w:p>
    <w:p w14:paraId="6A88A7B9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17975953" w14:textId="77777777" w:rsidR="0006664A" w:rsidRDefault="0006664A" w:rsidP="0006664A">
      <w:pPr>
        <w:pStyle w:val="NormalWeb"/>
        <w:spacing w:before="0" w:beforeAutospacing="0" w:after="0" w:afterAutospacing="0"/>
        <w:ind w:left="4320"/>
      </w:pPr>
      <w:r>
        <w:t>Tyler Xu</w:t>
      </w:r>
    </w:p>
    <w:p w14:paraId="36B0E4C2" w14:textId="39C0A28F" w:rsidR="00DA790F" w:rsidRPr="009A2B18" w:rsidRDefault="00DA790F" w:rsidP="00720E36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9A2B18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2C34" w14:textId="77777777" w:rsidR="0049266F" w:rsidRDefault="0049266F">
      <w:pPr>
        <w:spacing w:after="0" w:line="240" w:lineRule="auto"/>
      </w:pPr>
      <w:r>
        <w:separator/>
      </w:r>
    </w:p>
  </w:endnote>
  <w:endnote w:type="continuationSeparator" w:id="0">
    <w:p w14:paraId="4E031399" w14:textId="77777777" w:rsidR="0049266F" w:rsidRDefault="00492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AF2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4861F" w14:textId="77777777" w:rsidR="00071BFA" w:rsidRDefault="00071BFA" w:rsidP="008016FB">
    <w:pPr>
      <w:pStyle w:val="Footer"/>
    </w:pPr>
  </w:p>
  <w:p w14:paraId="655A1F03" w14:textId="77777777" w:rsidR="00071BFA" w:rsidRDefault="00071BFA" w:rsidP="008016FB"/>
  <w:p w14:paraId="4D64A86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4C629" w14:textId="77777777" w:rsidR="0049266F" w:rsidRDefault="0049266F">
      <w:pPr>
        <w:spacing w:after="0" w:line="240" w:lineRule="auto"/>
      </w:pPr>
      <w:r>
        <w:separator/>
      </w:r>
    </w:p>
  </w:footnote>
  <w:footnote w:type="continuationSeparator" w:id="0">
    <w:p w14:paraId="4BAE9CF1" w14:textId="77777777" w:rsidR="0049266F" w:rsidRDefault="0049266F">
      <w:pPr>
        <w:spacing w:after="0" w:line="240" w:lineRule="auto"/>
      </w:pPr>
      <w:r>
        <w:continuationSeparator/>
      </w:r>
    </w:p>
  </w:footnote>
  <w:footnote w:type="continuationNotice" w:id="1">
    <w:p w14:paraId="7C77869B" w14:textId="77777777" w:rsidR="0049266F" w:rsidRDefault="0049266F">
      <w:pPr>
        <w:spacing w:after="0" w:line="240" w:lineRule="auto"/>
      </w:pPr>
    </w:p>
  </w:footnote>
  <w:footnote w:id="2">
    <w:p w14:paraId="183C2FC7" w14:textId="54D95633" w:rsidR="00607C8C" w:rsidRDefault="00607C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7C8C">
        <w:rPr>
          <w:i/>
          <w:iCs/>
        </w:rPr>
        <w:t>Ratepayers Appeal of the Decision by Windermere Oaks Water Supply Corporation to Change Water and Sewer Rates</w:t>
      </w:r>
      <w:r>
        <w:t>, Order (Mar. 21,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80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66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0D97"/>
    <w:rsid w:val="000357D5"/>
    <w:rsid w:val="000406D7"/>
    <w:rsid w:val="00041B32"/>
    <w:rsid w:val="00041F8A"/>
    <w:rsid w:val="00042173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664A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97E59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4D3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07F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54B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0413"/>
    <w:rsid w:val="00253FE6"/>
    <w:rsid w:val="00254488"/>
    <w:rsid w:val="0025651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18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433"/>
    <w:rsid w:val="003455B0"/>
    <w:rsid w:val="00353AD2"/>
    <w:rsid w:val="00356686"/>
    <w:rsid w:val="00357C92"/>
    <w:rsid w:val="003602F6"/>
    <w:rsid w:val="00360A0C"/>
    <w:rsid w:val="00360EF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31E9"/>
    <w:rsid w:val="003E1385"/>
    <w:rsid w:val="003E180A"/>
    <w:rsid w:val="003E1AA5"/>
    <w:rsid w:val="003E36D7"/>
    <w:rsid w:val="003E7A59"/>
    <w:rsid w:val="003F0A17"/>
    <w:rsid w:val="003F1CEE"/>
    <w:rsid w:val="003F2DE0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1ED4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2B86"/>
    <w:rsid w:val="00483D52"/>
    <w:rsid w:val="00485D02"/>
    <w:rsid w:val="00485D9D"/>
    <w:rsid w:val="00490341"/>
    <w:rsid w:val="004903C4"/>
    <w:rsid w:val="00490A9A"/>
    <w:rsid w:val="0049266F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09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3EB6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3C9D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2D08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0A1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C8C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6B0F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55F5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9D1"/>
    <w:rsid w:val="00687DD6"/>
    <w:rsid w:val="0069075D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5CA3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0E36"/>
    <w:rsid w:val="00721484"/>
    <w:rsid w:val="00724788"/>
    <w:rsid w:val="007271CB"/>
    <w:rsid w:val="00734222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57C29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3815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477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0D17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82E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4FF9"/>
    <w:rsid w:val="008252BE"/>
    <w:rsid w:val="00827E46"/>
    <w:rsid w:val="008307E7"/>
    <w:rsid w:val="00830801"/>
    <w:rsid w:val="00831051"/>
    <w:rsid w:val="0083168F"/>
    <w:rsid w:val="00841E24"/>
    <w:rsid w:val="00844885"/>
    <w:rsid w:val="00845FBB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6639D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20CD"/>
    <w:rsid w:val="008B5086"/>
    <w:rsid w:val="008B63E5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7107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6F8D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B1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046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072F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4C5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29C7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3CB8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3B30"/>
    <w:rsid w:val="00B34138"/>
    <w:rsid w:val="00B34408"/>
    <w:rsid w:val="00B34890"/>
    <w:rsid w:val="00B35411"/>
    <w:rsid w:val="00B35A61"/>
    <w:rsid w:val="00B362A5"/>
    <w:rsid w:val="00B37139"/>
    <w:rsid w:val="00B40343"/>
    <w:rsid w:val="00B4062D"/>
    <w:rsid w:val="00B435B5"/>
    <w:rsid w:val="00B43A8C"/>
    <w:rsid w:val="00B45D25"/>
    <w:rsid w:val="00B4694F"/>
    <w:rsid w:val="00B50F0E"/>
    <w:rsid w:val="00B510F6"/>
    <w:rsid w:val="00B52619"/>
    <w:rsid w:val="00B5570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46A6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C7303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018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866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5442"/>
    <w:rsid w:val="00C67B8B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45A3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735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36D8"/>
    <w:rsid w:val="00E46C07"/>
    <w:rsid w:val="00E50247"/>
    <w:rsid w:val="00E50E56"/>
    <w:rsid w:val="00E5280E"/>
    <w:rsid w:val="00E52D6F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12A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12D9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115F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6B2"/>
    <w:rsid w:val="00F52807"/>
    <w:rsid w:val="00F54DF7"/>
    <w:rsid w:val="00F552DE"/>
    <w:rsid w:val="00F57310"/>
    <w:rsid w:val="00F6037A"/>
    <w:rsid w:val="00F603DB"/>
    <w:rsid w:val="00F64146"/>
    <w:rsid w:val="00F6501E"/>
    <w:rsid w:val="00F6533D"/>
    <w:rsid w:val="00F66A19"/>
    <w:rsid w:val="00F66C8C"/>
    <w:rsid w:val="00F67DFD"/>
    <w:rsid w:val="00F67FF9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6E5A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A05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616B0F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F2DE0"/>
  </w:style>
  <w:style w:type="paragraph" w:styleId="NormalWeb">
    <w:name w:val="Normal (Web)"/>
    <w:basedOn w:val="Normal"/>
    <w:uiPriority w:val="99"/>
    <w:unhideWhenUsed/>
    <w:rsid w:val="008B63E5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2544</Characters>
  <Application>Microsoft Office Word</Application>
  <DocSecurity>0</DocSecurity>
  <Lines>21</Lines>
  <Paragraphs>5</Paragraphs>
  <ScaleCrop>false</ScaleCrop>
  <Manager/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2024-06-21T20:13:00Z</dcterms:created>
  <dcterms:modified xsi:type="dcterms:W3CDTF">2024-06-21T21:12:00Z</dcterms:modified>
</cp:coreProperties>
</file>